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D8" w:rsidRDefault="00DD082F" w:rsidP="007569D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8</w:t>
      </w:r>
    </w:p>
    <w:p w:rsidR="007569D8" w:rsidRDefault="008C530F" w:rsidP="007569D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 32</w:t>
      </w:r>
    </w:p>
    <w:p w:rsidR="007569D8" w:rsidRDefault="007569D8" w:rsidP="007569D8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«Предоставление информации об очередности предоставления муниципальных жилых 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помещений на условиях социального найма»</w:t>
      </w:r>
    </w:p>
    <w:p w:rsidR="00D1506E" w:rsidRDefault="00D1506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D1506E" w:rsidP="00464483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D1506E">
              <w:rPr>
                <w:rFonts w:ascii="Times New Roman" w:hAnsi="Times New Roman"/>
              </w:rPr>
              <w:t xml:space="preserve">Администрация </w:t>
            </w:r>
            <w:r w:rsidR="00464483">
              <w:rPr>
                <w:rFonts w:ascii="Times New Roman" w:hAnsi="Times New Roman"/>
              </w:rPr>
              <w:t xml:space="preserve">Старохворостанского </w:t>
            </w:r>
            <w:r w:rsidRPr="00D1506E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1E78F7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3640100010000376529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bookmarkStart w:id="0" w:name="P31"/>
            <w:bookmarkEnd w:id="0"/>
            <w:r w:rsidRPr="00D1506E">
              <w:rPr>
                <w:rFonts w:ascii="Times New Roman" w:hAnsi="Times New Roman"/>
                <w:lang w:eastAsia="en-US"/>
              </w:rPr>
              <w:t xml:space="preserve">Постановление  от </w:t>
            </w:r>
            <w:r w:rsidR="00A909C5">
              <w:rPr>
                <w:rFonts w:ascii="Times New Roman" w:hAnsi="Times New Roman"/>
                <w:lang w:eastAsia="en-US"/>
              </w:rPr>
              <w:t>01.10</w:t>
            </w:r>
            <w:r>
              <w:rPr>
                <w:rFonts w:ascii="Times New Roman" w:hAnsi="Times New Roman"/>
                <w:lang w:eastAsia="en-US"/>
              </w:rPr>
              <w:t>.2015</w:t>
            </w:r>
            <w:r w:rsidRPr="00D1506E">
              <w:rPr>
                <w:rFonts w:ascii="Times New Roman" w:hAnsi="Times New Roman"/>
                <w:lang w:eastAsia="en-US"/>
              </w:rPr>
              <w:t xml:space="preserve"> г. №</w:t>
            </w:r>
            <w:r w:rsidR="00A909C5">
              <w:rPr>
                <w:rFonts w:ascii="Times New Roman" w:hAnsi="Times New Roman"/>
                <w:lang w:eastAsia="en-US"/>
              </w:rPr>
              <w:t>147</w:t>
            </w:r>
            <w:r w:rsidRPr="00D1506E">
              <w:rPr>
                <w:rFonts w:ascii="Times New Roman" w:hAnsi="Times New Roman"/>
                <w:lang w:eastAsia="en-US"/>
              </w:rPr>
              <w:t xml:space="preserve"> «Об утверждении административного  регламента администрации </w:t>
            </w:r>
            <w:r w:rsidR="00464483" w:rsidRPr="00464483">
              <w:rPr>
                <w:rFonts w:ascii="Times New Roman" w:hAnsi="Times New Roman"/>
                <w:lang w:eastAsia="en-US"/>
              </w:rPr>
              <w:t>Старохворостанского</w:t>
            </w:r>
            <w:r w:rsidRPr="00D1506E">
              <w:rPr>
                <w:rFonts w:ascii="Times New Roman" w:hAnsi="Times New Roman"/>
                <w:lang w:eastAsia="en-US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«Предоставление информации об очередности предоставления муниципальных жилых помещений на условиях социального найма»</w:t>
            </w:r>
            <w:r w:rsidR="00A909C5">
              <w:rPr>
                <w:rFonts w:ascii="Times New Roman" w:hAnsi="Times New Roman"/>
                <w:lang w:eastAsia="en-US"/>
              </w:rPr>
              <w:t xml:space="preserve"> (в редакции от 12.04.2016 № 67)</w:t>
            </w:r>
            <w:bookmarkStart w:id="1" w:name="_GoBack"/>
            <w:bookmarkEnd w:id="1"/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>- радиотелефонная связь;</w:t>
            </w:r>
          </w:p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1506E" w:rsidRPr="00D1506E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1506E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0E00EE" w:rsidRPr="001467CC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D1506E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D1506E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r w:rsidRPr="001467CC">
              <w:rPr>
                <w:rFonts w:ascii="Times New Roman" w:hAnsi="Times New Roman"/>
              </w:rPr>
              <w:lastRenderedPageBreak/>
              <w:t>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2C6D7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t xml:space="preserve">   </w:t>
            </w:r>
            <w:r w:rsidR="005A27C0"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  <w:r w:rsidR="00D1506E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B06B5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2B1457" w:rsidP="00A30529">
            <w:pPr>
              <w:pStyle w:val="ad"/>
              <w:jc w:val="both"/>
            </w:pP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8E280F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A43B91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5A27C0" w:rsidRPr="001467CC">
              <w:rPr>
                <w:rFonts w:ascii="Times New Roman" w:hAnsi="Times New Roman"/>
              </w:rPr>
              <w:t xml:space="preserve">- устанавливается </w:t>
            </w:r>
            <w:r w:rsidR="005A27C0"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="005A27C0"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74669C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9E5FA7"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</w:t>
            </w:r>
            <w:r w:rsidR="00A43B91" w:rsidRPr="001467CC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</w:t>
            </w:r>
            <w:r w:rsidR="00D1506E"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  <w:r w:rsidR="00D1506E">
              <w:rPr>
                <w:rFonts w:ascii="Times New Roman" w:hAnsi="Times New Roman"/>
              </w:rPr>
              <w:t>№2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D1506E">
      <w:pPr>
        <w:spacing w:after="0" w:line="240" w:lineRule="auto"/>
        <w:rPr>
          <w:rFonts w:ascii="Times New Roman" w:hAnsi="Times New Roman"/>
        </w:rPr>
      </w:pPr>
      <w:r w:rsidRPr="00D1506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 xml:space="preserve"> (форма заявления)</w:t>
      </w:r>
    </w:p>
    <w:p w:rsidR="001467CC" w:rsidRPr="00D1506E" w:rsidRDefault="005125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( уведомление об очередности предоставления муниципальных жилых помещений на условиях социального найма)</w:t>
      </w:r>
      <w:r w:rsidR="001467CC" w:rsidRPr="00D1506E">
        <w:rPr>
          <w:rFonts w:ascii="Times New Roman" w:hAnsi="Times New Roman"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1357" w:type="dxa"/>
        <w:tblLook w:val="04A0" w:firstRow="1" w:lastRow="0" w:firstColumn="1" w:lastColumn="0" w:noHBand="0" w:noVBand="1"/>
      </w:tblPr>
      <w:tblGrid>
        <w:gridCol w:w="1940"/>
        <w:gridCol w:w="7636"/>
      </w:tblGrid>
      <w:tr w:rsidR="00D1506E" w:rsidRPr="00D1506E" w:rsidTr="00D1506E">
        <w:tc>
          <w:tcPr>
            <w:tcW w:w="1940" w:type="dxa"/>
            <w:shd w:val="clear" w:color="auto" w:fill="auto"/>
          </w:tcPr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«Приложение № </w:t>
            </w:r>
            <w:r w:rsidR="0051252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Форма заявления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В администрацию ________________________ 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______________________________поселения 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 xml:space="preserve"> (Ф.И.О. заявителя)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(по доверенности в интересах)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(адрес регистрации)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1506E">
              <w:rPr>
                <w:rFonts w:ascii="Times New Roman" w:hAnsi="Times New Roman"/>
                <w:sz w:val="26"/>
                <w:szCs w:val="26"/>
              </w:rPr>
              <w:t>Контактный телефон ___________________</w:t>
            </w: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1506E" w:rsidRPr="00D1506E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>Заявление</w:t>
      </w: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1506E" w:rsidRPr="00D1506E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 xml:space="preserve">    _______________________________________ «____» ____________ 20__ г.</w:t>
      </w: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506E">
        <w:rPr>
          <w:rFonts w:ascii="Times New Roman" w:hAnsi="Times New Roman"/>
          <w:sz w:val="26"/>
          <w:szCs w:val="26"/>
        </w:rPr>
        <w:t xml:space="preserve">      (Ф.И.О. заявителя, подпись, дата)</w:t>
      </w: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1506E" w:rsidRPr="00D1506E" w:rsidRDefault="00D1506E" w:rsidP="00D1506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Pr="00512522" w:rsidRDefault="00512522" w:rsidP="005125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1252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Форма уведомления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Кому 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(фамилия, имя, отчество)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Куда 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(почтовый индекс и адрес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заявителя согласно заявлению)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______________________________________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bookmarkStart w:id="2" w:name="Par505"/>
      <w:bookmarkEnd w:id="2"/>
      <w:r w:rsidRPr="00512522">
        <w:rPr>
          <w:rFonts w:cs="Calibri"/>
          <w:sz w:val="24"/>
          <w:szCs w:val="24"/>
        </w:rPr>
        <w:t>УВЕДОМЛЕНИЕ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об очередности предоставления муниципальных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2522">
        <w:rPr>
          <w:rFonts w:cs="Calibri"/>
          <w:sz w:val="24"/>
          <w:szCs w:val="24"/>
        </w:rPr>
        <w:t>жилых помещений на условиях социального найма</w:t>
      </w:r>
    </w:p>
    <w:p w:rsidR="00512522" w:rsidRPr="0051252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Администрация _____________________________сельского поселения,  рассмотрев   заявление, информирует о том, что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                (фамилия, имя, отчество заявителя)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состоит (не состоит) на учете  граждан  в  качестве  нуждающегося  в  жилом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помещении, предоставляемом по договору социального найма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_________________________ по общей очереди с _______________________________,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(составом семьи)                            (дата постановки на учет)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по льготной очереди _____________________________ с ________________________,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 xml:space="preserve">                        (категория учета)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на дату _____________________ номер очереди _________________.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Глава поселения           __________________            ____________________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«_____» ______________ 20___ г.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12522">
        <w:rPr>
          <w:rFonts w:ascii="Courier New" w:hAnsi="Courier New" w:cs="Courier New"/>
          <w:sz w:val="20"/>
          <w:szCs w:val="20"/>
        </w:rPr>
        <w:t>М.П.</w:t>
      </w:r>
    </w:p>
    <w:p w:rsidR="00512522" w:rsidRPr="0051252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2522" w:rsidRPr="00512522" w:rsidRDefault="00512522" w:rsidP="00512522">
      <w:pPr>
        <w:rPr>
          <w:rFonts w:asciiTheme="minorHAnsi" w:eastAsiaTheme="minorHAnsi" w:hAnsiTheme="minorHAnsi" w:cstheme="minorBidi"/>
          <w:lang w:eastAsia="en-US"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p w:rsidR="00512522" w:rsidRDefault="00512522" w:rsidP="0074669C">
      <w:pPr>
        <w:spacing w:line="240" w:lineRule="auto"/>
        <w:rPr>
          <w:rFonts w:ascii="Times New Roman" w:hAnsi="Times New Roman"/>
          <w:b/>
        </w:rPr>
      </w:pPr>
    </w:p>
    <w:sectPr w:rsidR="00512522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6D" w:rsidRDefault="0026166D" w:rsidP="00F847AF">
      <w:pPr>
        <w:spacing w:after="0" w:line="240" w:lineRule="auto"/>
      </w:pPr>
      <w:r>
        <w:separator/>
      </w:r>
    </w:p>
  </w:endnote>
  <w:endnote w:type="continuationSeparator" w:id="0">
    <w:p w:rsidR="0026166D" w:rsidRDefault="0026166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6D" w:rsidRDefault="0026166D" w:rsidP="00F847AF">
      <w:pPr>
        <w:spacing w:after="0" w:line="240" w:lineRule="auto"/>
      </w:pPr>
      <w:r>
        <w:separator/>
      </w:r>
    </w:p>
  </w:footnote>
  <w:footnote w:type="continuationSeparator" w:id="0">
    <w:p w:rsidR="0026166D" w:rsidRDefault="0026166D" w:rsidP="00F847AF">
      <w:pPr>
        <w:spacing w:after="0" w:line="240" w:lineRule="auto"/>
      </w:pPr>
      <w:r>
        <w:continuationSeparator/>
      </w:r>
    </w:p>
  </w:footnote>
  <w:footnote w:id="1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2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</w:t>
      </w:r>
      <w:r w:rsidRPr="00731B15">
        <w:t xml:space="preserve"> </w:t>
      </w:r>
      <w:r>
        <w:t>органом, предоставляющим услугу</w:t>
      </w:r>
    </w:p>
  </w:footnote>
  <w:footnote w:id="3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4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5">
    <w:p w:rsidR="001467CC" w:rsidRDefault="001467CC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0EE3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8E6"/>
    <w:rsid w:val="00144D04"/>
    <w:rsid w:val="001467CC"/>
    <w:rsid w:val="001516B5"/>
    <w:rsid w:val="00157377"/>
    <w:rsid w:val="00163230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E78F7"/>
    <w:rsid w:val="001F10CC"/>
    <w:rsid w:val="00213C24"/>
    <w:rsid w:val="00215959"/>
    <w:rsid w:val="002169F1"/>
    <w:rsid w:val="00217ABC"/>
    <w:rsid w:val="002266C3"/>
    <w:rsid w:val="00234CC5"/>
    <w:rsid w:val="0026166D"/>
    <w:rsid w:val="00264FB0"/>
    <w:rsid w:val="00276F26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51BAB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1763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4483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522"/>
    <w:rsid w:val="00512FF4"/>
    <w:rsid w:val="00523DE9"/>
    <w:rsid w:val="005274EC"/>
    <w:rsid w:val="0053780D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569D8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C530F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103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09C5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919CE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506E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82F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9F6F-6E66-4C3C-A510-0FD77344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dcterms:created xsi:type="dcterms:W3CDTF">2017-08-24T12:16:00Z</dcterms:created>
  <dcterms:modified xsi:type="dcterms:W3CDTF">2017-08-25T13:00:00Z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